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7AF0" w14:textId="775178EA" w:rsidR="00AE4C01" w:rsidRPr="00196EB8" w:rsidRDefault="00AE4C01" w:rsidP="00AE4C01">
      <w:pPr>
        <w:ind w:left="426" w:right="709" w:firstLine="708"/>
        <w:rPr>
          <w:b/>
          <w:bCs/>
          <w:lang w:val="en-US"/>
        </w:rPr>
      </w:pPr>
      <w:r w:rsidRPr="00196EB8">
        <w:rPr>
          <w:b/>
          <w:bCs/>
          <w:lang w:val="en-US"/>
        </w:rPr>
        <w:t xml:space="preserve">ISO </w:t>
      </w:r>
      <w:r>
        <w:rPr>
          <w:b/>
          <w:bCs/>
          <w:lang w:val="en-US"/>
        </w:rPr>
        <w:t>24711</w:t>
      </w:r>
      <w:r w:rsidRPr="00196EB8">
        <w:rPr>
          <w:b/>
          <w:bCs/>
          <w:lang w:val="en-US"/>
        </w:rPr>
        <w:t xml:space="preserve"> &amp; ISO </w:t>
      </w:r>
      <w:r w:rsidR="00346ED0">
        <w:rPr>
          <w:b/>
          <w:bCs/>
          <w:lang w:val="en-US"/>
        </w:rPr>
        <w:t>24712</w:t>
      </w:r>
      <w:r w:rsidRPr="00196EB8">
        <w:rPr>
          <w:b/>
          <w:bCs/>
          <w:lang w:val="en-US"/>
        </w:rPr>
        <w:t xml:space="preserve"> Standards Declaration Letter for </w:t>
      </w:r>
      <w:r w:rsidR="00346ED0">
        <w:rPr>
          <w:b/>
          <w:bCs/>
          <w:lang w:val="en-US"/>
        </w:rPr>
        <w:t xml:space="preserve">ARMOR </w:t>
      </w:r>
      <w:r w:rsidR="008B5CC2">
        <w:rPr>
          <w:b/>
          <w:bCs/>
          <w:lang w:val="en-US"/>
        </w:rPr>
        <w:t>Print Solutions c</w:t>
      </w:r>
      <w:r w:rsidRPr="00196EB8">
        <w:rPr>
          <w:b/>
          <w:bCs/>
          <w:lang w:val="en-US"/>
        </w:rPr>
        <w:t xml:space="preserve">artridges </w:t>
      </w:r>
    </w:p>
    <w:p w14:paraId="0A310C78" w14:textId="77777777" w:rsidR="00AE4C01" w:rsidRDefault="00AE4C01" w:rsidP="00AE4C01">
      <w:pPr>
        <w:ind w:right="709"/>
        <w:rPr>
          <w:lang w:val="en-US"/>
        </w:rPr>
      </w:pPr>
    </w:p>
    <w:p w14:paraId="16B8002C" w14:textId="77777777" w:rsidR="00AE4C01" w:rsidRDefault="00AE4C01" w:rsidP="00AE4C01">
      <w:pPr>
        <w:ind w:left="1134" w:right="709"/>
        <w:rPr>
          <w:lang w:val="en-US"/>
        </w:rPr>
      </w:pPr>
      <w:r w:rsidRPr="00467DAA">
        <w:rPr>
          <w:lang w:val="en-US"/>
        </w:rPr>
        <w:t xml:space="preserve">Dear Customer, </w:t>
      </w:r>
    </w:p>
    <w:p w14:paraId="2BEB4608" w14:textId="77777777" w:rsidR="00AE4C01" w:rsidRDefault="00AE4C01" w:rsidP="00AE4C01">
      <w:pPr>
        <w:ind w:left="1134" w:right="709"/>
        <w:rPr>
          <w:lang w:val="en-US"/>
        </w:rPr>
      </w:pPr>
    </w:p>
    <w:p w14:paraId="7BEA58E9" w14:textId="5CDF7036" w:rsidR="00AE4C01" w:rsidRDefault="00AE4C01" w:rsidP="00AE4C01">
      <w:pPr>
        <w:ind w:left="1134" w:right="709"/>
        <w:jc w:val="both"/>
        <w:rPr>
          <w:lang w:val="en-US"/>
        </w:rPr>
      </w:pPr>
      <w:r w:rsidRPr="00467DAA">
        <w:rPr>
          <w:lang w:val="en-US"/>
        </w:rPr>
        <w:t xml:space="preserve">This is a confirmation letter that our products were tested for page yield. Our page yield measuring procedure is in its essence </w:t>
      </w:r>
      <w:proofErr w:type="gramStart"/>
      <w:r w:rsidRPr="00467DAA">
        <w:rPr>
          <w:lang w:val="en-US"/>
        </w:rPr>
        <w:t>similar to</w:t>
      </w:r>
      <w:proofErr w:type="gramEnd"/>
      <w:r w:rsidRPr="00467DAA">
        <w:rPr>
          <w:lang w:val="en-US"/>
        </w:rPr>
        <w:t xml:space="preserve"> ISO </w:t>
      </w:r>
      <w:r w:rsidR="001B3ADC">
        <w:rPr>
          <w:lang w:val="en-US"/>
        </w:rPr>
        <w:t>24711</w:t>
      </w:r>
      <w:r w:rsidRPr="00467DAA">
        <w:rPr>
          <w:lang w:val="en-US"/>
        </w:rPr>
        <w:t xml:space="preserve"> (</w:t>
      </w:r>
      <w:proofErr w:type="spellStart"/>
      <w:r w:rsidR="001B3ADC">
        <w:rPr>
          <w:lang w:val="en-US"/>
        </w:rPr>
        <w:t>colour</w:t>
      </w:r>
      <w:proofErr w:type="spellEnd"/>
      <w:r w:rsidR="001B3ADC">
        <w:rPr>
          <w:lang w:val="en-US"/>
        </w:rPr>
        <w:t xml:space="preserve"> inkjet </w:t>
      </w:r>
      <w:r w:rsidRPr="00467DAA">
        <w:rPr>
          <w:lang w:val="en-US"/>
        </w:rPr>
        <w:t xml:space="preserve">cartridges) &amp; ISO </w:t>
      </w:r>
      <w:r w:rsidR="001B3ADC">
        <w:rPr>
          <w:lang w:val="en-US"/>
        </w:rPr>
        <w:t>24712</w:t>
      </w:r>
      <w:r w:rsidRPr="00467DAA">
        <w:rPr>
          <w:lang w:val="en-US"/>
        </w:rPr>
        <w:t xml:space="preserve"> (</w:t>
      </w:r>
      <w:r w:rsidR="001B3ADC">
        <w:rPr>
          <w:lang w:val="en-US"/>
        </w:rPr>
        <w:t xml:space="preserve">monochrome inkjet </w:t>
      </w:r>
      <w:r w:rsidRPr="00467DAA">
        <w:rPr>
          <w:lang w:val="en-US"/>
        </w:rPr>
        <w:t xml:space="preserve">cartridges) giving comparable </w:t>
      </w:r>
      <w:r w:rsidRPr="00787855">
        <w:rPr>
          <w:lang w:val="en-US"/>
        </w:rPr>
        <w:t xml:space="preserve">results. </w:t>
      </w:r>
      <w:r w:rsidRPr="00DA4855">
        <w:rPr>
          <w:highlight w:val="yellow"/>
          <w:lang w:val="en-US"/>
        </w:rPr>
        <w:t>We perform our test both in our products and in OEM so we can compare results. The noticeable difference between our procedure and the two mentioned ISO standards, is that our tests were designed to evaluate print quality throughout the life of the cartridge as well as page yield while the mentioned ISO standards only scope is page yield determination.</w:t>
      </w:r>
      <w:r w:rsidRPr="00467DAA">
        <w:rPr>
          <w:lang w:val="en-US"/>
        </w:rPr>
        <w:t xml:space="preserve"> </w:t>
      </w:r>
    </w:p>
    <w:p w14:paraId="6861ED72" w14:textId="77777777" w:rsidR="00AE4C01" w:rsidRDefault="00AE4C01" w:rsidP="00AE4C01">
      <w:pPr>
        <w:ind w:left="1134" w:right="709"/>
        <w:rPr>
          <w:lang w:val="en-US"/>
        </w:rPr>
      </w:pPr>
    </w:p>
    <w:p w14:paraId="0FDF2E52" w14:textId="0C3B2446" w:rsidR="00AE4C01" w:rsidRDefault="00AE4C01" w:rsidP="00AE4C01">
      <w:pPr>
        <w:ind w:left="1134" w:right="709"/>
        <w:rPr>
          <w:lang w:val="en-US"/>
        </w:rPr>
      </w:pPr>
      <w:r w:rsidRPr="00467DAA">
        <w:rPr>
          <w:lang w:val="en-US"/>
        </w:rPr>
        <w:t xml:space="preserve">From ISO </w:t>
      </w:r>
      <w:r w:rsidR="00DA4855">
        <w:rPr>
          <w:lang w:val="en-US"/>
        </w:rPr>
        <w:t>24711</w:t>
      </w:r>
      <w:r w:rsidRPr="00467DAA">
        <w:rPr>
          <w:lang w:val="en-US"/>
        </w:rPr>
        <w:t xml:space="preserve"> abstract below: </w:t>
      </w:r>
    </w:p>
    <w:p w14:paraId="0000B598" w14:textId="27CEC0B3" w:rsidR="00AE4C01" w:rsidRPr="00C1079B" w:rsidRDefault="00AE4C01" w:rsidP="00AE4C01">
      <w:pPr>
        <w:ind w:left="1134" w:right="709"/>
        <w:rPr>
          <w:i/>
          <w:iCs/>
          <w:lang w:val="en-US"/>
        </w:rPr>
      </w:pPr>
      <w:r w:rsidRPr="00DA4855">
        <w:rPr>
          <w:i/>
          <w:iCs/>
          <w:highlight w:val="yellow"/>
          <w:lang w:val="en-US"/>
        </w:rPr>
        <w:t xml:space="preserve">The scope of this International Standard is limited to evaluate of </w:t>
      </w:r>
      <w:r w:rsidR="00DA4855">
        <w:rPr>
          <w:i/>
          <w:iCs/>
          <w:highlight w:val="yellow"/>
          <w:lang w:val="en-US"/>
        </w:rPr>
        <w:t xml:space="preserve">inkjet </w:t>
      </w:r>
      <w:r w:rsidRPr="00DA4855">
        <w:rPr>
          <w:i/>
          <w:iCs/>
          <w:highlight w:val="yellow"/>
          <w:lang w:val="en-US"/>
        </w:rPr>
        <w:t xml:space="preserve">cartridge yield for </w:t>
      </w:r>
      <w:r w:rsidR="00DA4855">
        <w:rPr>
          <w:i/>
          <w:iCs/>
          <w:highlight w:val="yellow"/>
          <w:lang w:val="en-US"/>
        </w:rPr>
        <w:t xml:space="preserve">inkjet </w:t>
      </w:r>
      <w:r w:rsidRPr="00DA4855">
        <w:rPr>
          <w:i/>
          <w:iCs/>
          <w:highlight w:val="yellow"/>
          <w:lang w:val="en-US"/>
        </w:rPr>
        <w:t>containing cartridges (</w:t>
      </w:r>
      <w:proofErr w:type="spellStart"/>
      <w:r w:rsidRPr="00DA4855">
        <w:rPr>
          <w:i/>
          <w:iCs/>
          <w:highlight w:val="yellow"/>
          <w:lang w:val="en-US"/>
        </w:rPr>
        <w:t>i.e</w:t>
      </w:r>
      <w:proofErr w:type="spellEnd"/>
      <w:r w:rsidRPr="00DA4855">
        <w:rPr>
          <w:i/>
          <w:iCs/>
          <w:highlight w:val="yellow"/>
          <w:lang w:val="en-US"/>
        </w:rPr>
        <w:t xml:space="preserve"> all-in-one </w:t>
      </w:r>
      <w:r w:rsidR="00514C6C">
        <w:rPr>
          <w:i/>
          <w:iCs/>
          <w:highlight w:val="yellow"/>
          <w:lang w:val="en-US"/>
        </w:rPr>
        <w:t xml:space="preserve">inkjet </w:t>
      </w:r>
      <w:r w:rsidRPr="00DA4855">
        <w:rPr>
          <w:i/>
          <w:iCs/>
          <w:highlight w:val="yellow"/>
          <w:lang w:val="en-US"/>
        </w:rPr>
        <w:t xml:space="preserve">cartridges and </w:t>
      </w:r>
      <w:r w:rsidR="00514C6C">
        <w:rPr>
          <w:i/>
          <w:iCs/>
          <w:highlight w:val="yellow"/>
          <w:lang w:val="en-US"/>
        </w:rPr>
        <w:t xml:space="preserve">inkjet </w:t>
      </w:r>
      <w:r w:rsidRPr="00DA4855">
        <w:rPr>
          <w:i/>
          <w:iCs/>
          <w:highlight w:val="yellow"/>
          <w:lang w:val="en-US"/>
        </w:rPr>
        <w:t xml:space="preserve">cartridges without a photoconductor) for </w:t>
      </w:r>
      <w:proofErr w:type="spellStart"/>
      <w:proofErr w:type="gramStart"/>
      <w:r w:rsidR="00514C6C">
        <w:rPr>
          <w:i/>
          <w:iCs/>
          <w:highlight w:val="yellow"/>
          <w:lang w:val="en-US"/>
        </w:rPr>
        <w:t>colour</w:t>
      </w:r>
      <w:proofErr w:type="spellEnd"/>
      <w:r w:rsidR="00514C6C">
        <w:rPr>
          <w:i/>
          <w:iCs/>
          <w:highlight w:val="yellow"/>
          <w:lang w:val="en-US"/>
        </w:rPr>
        <w:t xml:space="preserve"> </w:t>
      </w:r>
      <w:r w:rsidRPr="00DA4855">
        <w:rPr>
          <w:i/>
          <w:iCs/>
          <w:highlight w:val="yellow"/>
          <w:lang w:val="en-US"/>
        </w:rPr>
        <w:t xml:space="preserve"> electrophotographic</w:t>
      </w:r>
      <w:proofErr w:type="gramEnd"/>
      <w:r w:rsidRPr="00DA4855">
        <w:rPr>
          <w:i/>
          <w:iCs/>
          <w:highlight w:val="yellow"/>
          <w:lang w:val="en-US"/>
        </w:rPr>
        <w:t xml:space="preserve"> printers. This international Standard could also be applied to the printer component of any multifunctional device that has a digital input-printing path (</w:t>
      </w:r>
      <w:proofErr w:type="gramStart"/>
      <w:r w:rsidRPr="00DA4855">
        <w:rPr>
          <w:i/>
          <w:iCs/>
          <w:highlight w:val="yellow"/>
          <w:lang w:val="en-US"/>
        </w:rPr>
        <w:t>i.e.</w:t>
      </w:r>
      <w:proofErr w:type="gramEnd"/>
      <w:r w:rsidRPr="00DA4855">
        <w:rPr>
          <w:i/>
          <w:iCs/>
          <w:highlight w:val="yellow"/>
          <w:lang w:val="en-US"/>
        </w:rPr>
        <w:t xml:space="preserve"> multi-function devices that contain printer components).</w:t>
      </w:r>
    </w:p>
    <w:p w14:paraId="3643255E" w14:textId="77777777" w:rsidR="00AE4C01" w:rsidRDefault="00AE4C01" w:rsidP="00AE4C01">
      <w:pPr>
        <w:ind w:left="1134" w:right="709"/>
        <w:rPr>
          <w:lang w:val="en-US"/>
        </w:rPr>
      </w:pPr>
    </w:p>
    <w:p w14:paraId="48FD53E0" w14:textId="0D14B35D" w:rsidR="00AE4C01" w:rsidRDefault="00AE4C01" w:rsidP="00AE4C01">
      <w:pPr>
        <w:ind w:left="1134" w:right="709"/>
        <w:rPr>
          <w:lang w:val="en-US"/>
        </w:rPr>
      </w:pPr>
      <w:r w:rsidRPr="00467DAA">
        <w:rPr>
          <w:lang w:val="en-US"/>
        </w:rPr>
        <w:t xml:space="preserve">From ISO </w:t>
      </w:r>
      <w:r w:rsidR="00E56C80">
        <w:rPr>
          <w:lang w:val="en-US"/>
        </w:rPr>
        <w:t>24712</w:t>
      </w:r>
      <w:r w:rsidRPr="00467DAA">
        <w:rPr>
          <w:lang w:val="en-US"/>
        </w:rPr>
        <w:t xml:space="preserve"> abstract below: </w:t>
      </w:r>
    </w:p>
    <w:p w14:paraId="3987A000" w14:textId="73C4DDC0" w:rsidR="00AE4C01" w:rsidRDefault="00AE4C01" w:rsidP="00AE4C01">
      <w:pPr>
        <w:ind w:left="1134" w:right="709"/>
        <w:rPr>
          <w:lang w:val="en-US"/>
        </w:rPr>
      </w:pPr>
      <w:r w:rsidRPr="00E56C80">
        <w:rPr>
          <w:i/>
          <w:iCs/>
          <w:highlight w:val="yellow"/>
          <w:lang w:val="en-US"/>
        </w:rPr>
        <w:t xml:space="preserve">The scope of this International Standard is limited to evaluate of </w:t>
      </w:r>
      <w:r w:rsidR="00514C6C" w:rsidRPr="00E56C80">
        <w:rPr>
          <w:i/>
          <w:iCs/>
          <w:highlight w:val="yellow"/>
          <w:lang w:val="en-US"/>
        </w:rPr>
        <w:t xml:space="preserve">inkjet </w:t>
      </w:r>
      <w:r w:rsidRPr="00E56C80">
        <w:rPr>
          <w:i/>
          <w:iCs/>
          <w:highlight w:val="yellow"/>
          <w:lang w:val="en-US"/>
        </w:rPr>
        <w:t xml:space="preserve">cartridge page yield for </w:t>
      </w:r>
      <w:r w:rsidR="00514C6C" w:rsidRPr="00E56C80">
        <w:rPr>
          <w:i/>
          <w:iCs/>
          <w:highlight w:val="yellow"/>
          <w:lang w:val="en-US"/>
        </w:rPr>
        <w:t>inkjet</w:t>
      </w:r>
      <w:r w:rsidRPr="00E56C80">
        <w:rPr>
          <w:i/>
          <w:iCs/>
          <w:highlight w:val="yellow"/>
          <w:lang w:val="en-US"/>
        </w:rPr>
        <w:t>-containing cartridges (</w:t>
      </w:r>
      <w:proofErr w:type="gramStart"/>
      <w:r w:rsidRPr="00E56C80">
        <w:rPr>
          <w:i/>
          <w:iCs/>
          <w:highlight w:val="yellow"/>
          <w:lang w:val="en-US"/>
        </w:rPr>
        <w:t>i.e.</w:t>
      </w:r>
      <w:proofErr w:type="gramEnd"/>
      <w:r w:rsidRPr="00E56C80">
        <w:rPr>
          <w:i/>
          <w:iCs/>
          <w:highlight w:val="yellow"/>
          <w:lang w:val="en-US"/>
        </w:rPr>
        <w:t xml:space="preserve"> all-in-one </w:t>
      </w:r>
      <w:r w:rsidR="00514C6C" w:rsidRPr="00E56C80">
        <w:rPr>
          <w:i/>
          <w:iCs/>
          <w:highlight w:val="yellow"/>
          <w:lang w:val="en-US"/>
        </w:rPr>
        <w:t>inkjet</w:t>
      </w:r>
      <w:r w:rsidRPr="00E56C80">
        <w:rPr>
          <w:i/>
          <w:iCs/>
          <w:highlight w:val="yellow"/>
          <w:lang w:val="en-US"/>
        </w:rPr>
        <w:t xml:space="preserve"> cartridges and </w:t>
      </w:r>
      <w:r w:rsidR="00E56C80" w:rsidRPr="00E56C80">
        <w:rPr>
          <w:i/>
          <w:iCs/>
          <w:highlight w:val="yellow"/>
          <w:lang w:val="en-US"/>
        </w:rPr>
        <w:t xml:space="preserve">inkjet </w:t>
      </w:r>
      <w:r w:rsidRPr="00E56C80">
        <w:rPr>
          <w:i/>
          <w:iCs/>
          <w:highlight w:val="yellow"/>
          <w:lang w:val="en-US"/>
        </w:rPr>
        <w:t xml:space="preserve">cartridges without a photoconductor) for </w:t>
      </w:r>
      <w:r w:rsidR="00E56C80" w:rsidRPr="00E56C80">
        <w:rPr>
          <w:i/>
          <w:iCs/>
          <w:highlight w:val="yellow"/>
          <w:lang w:val="en-US"/>
        </w:rPr>
        <w:t xml:space="preserve">monochrome </w:t>
      </w:r>
      <w:r w:rsidRPr="00E56C80">
        <w:rPr>
          <w:i/>
          <w:iCs/>
          <w:highlight w:val="yellow"/>
          <w:lang w:val="en-US"/>
        </w:rPr>
        <w:t>electrophotographic printers. This International standard can also be applied to the printer component of any multifunctional device that has a digital input printing path, including multi-function devices that contain electrophotographic printer component.</w:t>
      </w:r>
    </w:p>
    <w:p w14:paraId="231201DC" w14:textId="2F08CA9D" w:rsidR="00AE4C01" w:rsidRDefault="00AE4C01" w:rsidP="00AE4C01">
      <w:pPr>
        <w:ind w:left="1134" w:right="709"/>
        <w:jc w:val="both"/>
        <w:rPr>
          <w:lang w:val="en-US"/>
        </w:rPr>
      </w:pPr>
      <w:proofErr w:type="gramStart"/>
      <w:r w:rsidRPr="00467DAA">
        <w:rPr>
          <w:lang w:val="en-US"/>
        </w:rPr>
        <w:t>It is clear that both</w:t>
      </w:r>
      <w:proofErr w:type="gramEnd"/>
      <w:r w:rsidRPr="00467DAA">
        <w:rPr>
          <w:lang w:val="en-US"/>
        </w:rPr>
        <w:t xml:space="preserve"> standards are only applicable to toner cartridges. </w:t>
      </w:r>
      <w:r w:rsidRPr="0021167F">
        <w:rPr>
          <w:highlight w:val="yellow"/>
          <w:lang w:val="en-US"/>
        </w:rPr>
        <w:t xml:space="preserve">As our product list also includes Drum cartridges (no toner present), the page yields mentioned in these cases stands for similar test method, where the </w:t>
      </w:r>
      <w:proofErr w:type="gramStart"/>
      <w:r w:rsidRPr="0021167F">
        <w:rPr>
          <w:highlight w:val="yellow"/>
          <w:lang w:val="en-US"/>
        </w:rPr>
        <w:t>end of life</w:t>
      </w:r>
      <w:proofErr w:type="gramEnd"/>
      <w:r w:rsidRPr="0021167F">
        <w:rPr>
          <w:highlight w:val="yellow"/>
          <w:lang w:val="en-US"/>
        </w:rPr>
        <w:t xml:space="preserve"> criteria was “noticeable decrease in print quality” or “chip end of life failure”.</w:t>
      </w:r>
      <w:r w:rsidRPr="00467DAA">
        <w:rPr>
          <w:lang w:val="en-US"/>
        </w:rPr>
        <w:t xml:space="preserve"> </w:t>
      </w:r>
      <w:r w:rsidRPr="004D0BE2">
        <w:rPr>
          <w:highlight w:val="yellow"/>
          <w:lang w:val="en-US"/>
        </w:rPr>
        <w:t>Both test patterns are used in ARMOR</w:t>
      </w:r>
      <w:r w:rsidR="008B5CC2">
        <w:rPr>
          <w:highlight w:val="yellow"/>
          <w:lang w:val="en-US"/>
        </w:rPr>
        <w:t xml:space="preserve"> Print Solutions</w:t>
      </w:r>
      <w:r w:rsidRPr="004D0BE2">
        <w:rPr>
          <w:highlight w:val="yellow"/>
          <w:lang w:val="en-US"/>
        </w:rPr>
        <w:t xml:space="preserve"> testing, introducing every 1000 pages printed a set of our own pages with the purpose of collecting data regarding print quality to complement the results obtained by following the ISO standards.</w:t>
      </w:r>
      <w:r w:rsidRPr="00467DAA">
        <w:rPr>
          <w:lang w:val="en-US"/>
        </w:rPr>
        <w:t xml:space="preserve"> </w:t>
      </w:r>
    </w:p>
    <w:p w14:paraId="04DE10F2" w14:textId="77777777" w:rsidR="00AE4C01" w:rsidRDefault="00AE4C01" w:rsidP="00AE4C01">
      <w:pPr>
        <w:ind w:right="709"/>
        <w:rPr>
          <w:lang w:val="en-US"/>
        </w:rPr>
      </w:pPr>
    </w:p>
    <w:p w14:paraId="563CB3FB" w14:textId="77777777" w:rsidR="00AE4C01" w:rsidRDefault="00AE4C01" w:rsidP="00AE4C01">
      <w:pPr>
        <w:ind w:left="1134" w:right="709"/>
      </w:pPr>
      <w:proofErr w:type="spellStart"/>
      <w:r>
        <w:t>Yours</w:t>
      </w:r>
      <w:proofErr w:type="spellEnd"/>
      <w:r>
        <w:t xml:space="preserve"> </w:t>
      </w:r>
      <w:proofErr w:type="spellStart"/>
      <w:r>
        <w:t>Sincerely</w:t>
      </w:r>
      <w:proofErr w:type="spellEnd"/>
      <w:r>
        <w:t>,</w:t>
      </w:r>
    </w:p>
    <w:p w14:paraId="71D19A7E" w14:textId="77777777" w:rsidR="00AE4C01" w:rsidRDefault="00AE4C01" w:rsidP="00AE4C01">
      <w:pPr>
        <w:ind w:left="1134" w:right="709"/>
      </w:pPr>
    </w:p>
    <w:p w14:paraId="1120CCB6" w14:textId="77777777" w:rsidR="00AE4C01" w:rsidRDefault="00AE4C01" w:rsidP="00AE4C01">
      <w:pPr>
        <w:ind w:left="1134" w:right="709"/>
      </w:pPr>
      <w:r>
        <w:t>Julien THEBAUD</w:t>
      </w:r>
    </w:p>
    <w:p w14:paraId="1FF8AB62" w14:textId="77777777" w:rsidR="001848C1" w:rsidRDefault="001848C1" w:rsidP="008B5CC2">
      <w:pPr>
        <w:ind w:right="709"/>
      </w:pPr>
    </w:p>
    <w:sectPr w:rsidR="001848C1" w:rsidSect="00C04940">
      <w:headerReference w:type="default" r:id="rId9"/>
      <w:footerReference w:type="default" r:id="rId10"/>
      <w:pgSz w:w="11906" w:h="16838" w:code="9"/>
      <w:pgMar w:top="-2090" w:right="140" w:bottom="0" w:left="0"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03EA" w14:textId="77777777" w:rsidR="00D45EB7" w:rsidRDefault="00D45EB7" w:rsidP="00965411">
      <w:pPr>
        <w:spacing w:after="0" w:line="240" w:lineRule="auto"/>
      </w:pPr>
      <w:r>
        <w:separator/>
      </w:r>
    </w:p>
  </w:endnote>
  <w:endnote w:type="continuationSeparator" w:id="0">
    <w:p w14:paraId="314825BF" w14:textId="77777777" w:rsidR="00D45EB7" w:rsidRDefault="00D45EB7" w:rsidP="0096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7D6D" w14:textId="77777777" w:rsidR="00965411" w:rsidRDefault="00965411" w:rsidP="00965411">
    <w:pPr>
      <w:spacing w:after="0" w:line="240" w:lineRule="auto"/>
      <w:jc w:val="center"/>
      <w:rPr>
        <w:rFonts w:ascii="Trebuchet MS" w:hAnsi="Trebuchet MS"/>
        <w:b/>
        <w:color w:val="808080" w:themeColor="background1" w:themeShade="80"/>
        <w:sz w:val="16"/>
      </w:rPr>
    </w:pPr>
    <w:r>
      <w:rPr>
        <w:rFonts w:ascii="Trebuchet MS" w:hAnsi="Trebuchet MS"/>
        <w:b/>
        <w:noProof/>
        <w:color w:val="808080" w:themeColor="background1" w:themeShade="80"/>
        <w:sz w:val="16"/>
      </w:rPr>
      <w:drawing>
        <wp:inline distT="0" distB="0" distL="0" distR="0" wp14:anchorId="4365273A" wp14:editId="1A9EC379">
          <wp:extent cx="381000" cy="185351"/>
          <wp:effectExtent l="0" t="0" r="0" b="5715"/>
          <wp:docPr id="565" name="Imag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656" cy="200265"/>
                  </a:xfrm>
                  <a:prstGeom prst="rect">
                    <a:avLst/>
                  </a:prstGeom>
                  <a:noFill/>
                  <a:ln>
                    <a:noFill/>
                  </a:ln>
                </pic:spPr>
              </pic:pic>
            </a:graphicData>
          </a:graphic>
        </wp:inline>
      </w:drawing>
    </w:r>
  </w:p>
  <w:p w14:paraId="103B8329" w14:textId="77777777" w:rsidR="00965411" w:rsidRPr="00907FF6" w:rsidRDefault="00965411" w:rsidP="00965411">
    <w:pPr>
      <w:spacing w:after="0" w:line="240" w:lineRule="auto"/>
      <w:jc w:val="center"/>
      <w:rPr>
        <w:rFonts w:ascii="Trebuchet MS" w:hAnsi="Trebuchet MS"/>
        <w:b/>
        <w:color w:val="808080" w:themeColor="background1" w:themeShade="80"/>
        <w:sz w:val="16"/>
      </w:rPr>
    </w:pPr>
    <w:r>
      <w:rPr>
        <w:rFonts w:ascii="Trebuchet MS" w:hAnsi="Trebuchet MS"/>
        <w:b/>
        <w:color w:val="808080" w:themeColor="background1" w:themeShade="80"/>
        <w:sz w:val="16"/>
      </w:rPr>
      <w:t xml:space="preserve">ARMOR </w:t>
    </w:r>
    <w:proofErr w:type="spellStart"/>
    <w:r w:rsidRPr="00907FF6">
      <w:rPr>
        <w:rFonts w:ascii="Trebuchet MS" w:hAnsi="Trebuchet MS"/>
        <w:b/>
        <w:color w:val="808080" w:themeColor="background1" w:themeShade="80"/>
        <w:sz w:val="16"/>
      </w:rPr>
      <w:t>Print</w:t>
    </w:r>
    <w:proofErr w:type="spellEnd"/>
    <w:r w:rsidRPr="00907FF6">
      <w:rPr>
        <w:rFonts w:ascii="Trebuchet MS" w:hAnsi="Trebuchet MS"/>
        <w:b/>
        <w:color w:val="808080" w:themeColor="background1" w:themeShade="80"/>
        <w:sz w:val="16"/>
      </w:rPr>
      <w:t xml:space="preserve"> Solutions SAS</w:t>
    </w:r>
  </w:p>
  <w:p w14:paraId="56237716" w14:textId="77777777" w:rsidR="00965411" w:rsidRDefault="00965411" w:rsidP="00965411">
    <w:pPr>
      <w:spacing w:after="0" w:line="240" w:lineRule="auto"/>
      <w:jc w:val="center"/>
      <w:rPr>
        <w:rFonts w:ascii="Trebuchet MS" w:hAnsi="Trebuchet MS"/>
        <w:color w:val="808080" w:themeColor="background1" w:themeShade="80"/>
        <w:sz w:val="16"/>
      </w:rPr>
    </w:pPr>
    <w:r w:rsidRPr="00907FF6">
      <w:rPr>
        <w:rFonts w:ascii="Trebuchet MS" w:hAnsi="Trebuchet MS"/>
        <w:color w:val="808080" w:themeColor="background1" w:themeShade="80"/>
        <w:sz w:val="16"/>
      </w:rPr>
      <w:t>17 Boulevard de Chantenay</w:t>
    </w:r>
    <w:r>
      <w:rPr>
        <w:rFonts w:ascii="Trebuchet MS" w:hAnsi="Trebuchet MS"/>
        <w:color w:val="808080" w:themeColor="background1" w:themeShade="80"/>
        <w:sz w:val="16"/>
      </w:rPr>
      <w:t xml:space="preserve"> - </w:t>
    </w:r>
    <w:r w:rsidRPr="009B3FBF">
      <w:rPr>
        <w:rFonts w:ascii="Trebuchet MS" w:hAnsi="Trebuchet MS"/>
        <w:color w:val="808080" w:themeColor="background1" w:themeShade="80"/>
        <w:sz w:val="16"/>
      </w:rPr>
      <w:t>CS 90508</w:t>
    </w:r>
  </w:p>
  <w:p w14:paraId="299C73DD" w14:textId="77777777" w:rsidR="00965411" w:rsidRPr="00965411" w:rsidRDefault="00965411" w:rsidP="00965411">
    <w:pPr>
      <w:spacing w:after="0" w:line="240" w:lineRule="auto"/>
      <w:jc w:val="center"/>
      <w:rPr>
        <w:rFonts w:ascii="Trebuchet MS" w:hAnsi="Trebuchet MS"/>
        <w:color w:val="808080" w:themeColor="background1" w:themeShade="80"/>
        <w:sz w:val="8"/>
        <w:szCs w:val="14"/>
      </w:rPr>
    </w:pPr>
    <w:r w:rsidRPr="009B3FBF">
      <w:rPr>
        <w:rFonts w:ascii="Trebuchet MS" w:hAnsi="Trebuchet MS"/>
        <w:color w:val="808080" w:themeColor="background1" w:themeShade="80"/>
        <w:sz w:val="16"/>
      </w:rPr>
      <w:t xml:space="preserve">44105 NANTES CEDEX 4 – </w:t>
    </w:r>
    <w:r>
      <w:rPr>
        <w:rFonts w:ascii="Trebuchet MS" w:hAnsi="Trebuchet MS"/>
        <w:color w:val="808080" w:themeColor="background1" w:themeShade="80"/>
        <w:sz w:val="16"/>
      </w:rPr>
      <w:t>France</w:t>
    </w:r>
  </w:p>
  <w:p w14:paraId="7215BC33" w14:textId="77777777" w:rsidR="00965411" w:rsidRDefault="00965411" w:rsidP="00965411">
    <w:pPr>
      <w:spacing w:after="0" w:line="240" w:lineRule="auto"/>
      <w:jc w:val="center"/>
      <w:rPr>
        <w:rFonts w:ascii="Trebuchet MS" w:hAnsi="Trebuchet MS"/>
        <w:color w:val="808080" w:themeColor="background1" w:themeShade="80"/>
        <w:sz w:val="8"/>
        <w:szCs w:val="14"/>
      </w:rPr>
    </w:pPr>
    <w:r w:rsidRPr="00965411">
      <w:rPr>
        <w:rFonts w:ascii="Trebuchet MS" w:hAnsi="Trebuchet MS"/>
        <w:noProof/>
        <w:color w:val="808080" w:themeColor="background1" w:themeShade="80"/>
        <w:sz w:val="8"/>
        <w:szCs w:val="14"/>
      </w:rPr>
      <w:drawing>
        <wp:inline distT="0" distB="0" distL="0" distR="0" wp14:anchorId="57BDC5E8" wp14:editId="265E4407">
          <wp:extent cx="457190" cy="45719"/>
          <wp:effectExtent l="0" t="0" r="635" b="0"/>
          <wp:docPr id="566" name="Imag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463832" cy="46383"/>
                  </a:xfrm>
                  <a:prstGeom prst="rect">
                    <a:avLst/>
                  </a:prstGeom>
                  <a:noFill/>
                  <a:ln>
                    <a:noFill/>
                  </a:ln>
                </pic:spPr>
              </pic:pic>
            </a:graphicData>
          </a:graphic>
        </wp:inline>
      </w:drawing>
    </w:r>
  </w:p>
  <w:p w14:paraId="46E1E557" w14:textId="77777777" w:rsidR="00965411" w:rsidRPr="00965411" w:rsidRDefault="00965411" w:rsidP="00965411">
    <w:pPr>
      <w:spacing w:after="0" w:line="240" w:lineRule="auto"/>
      <w:jc w:val="center"/>
      <w:rPr>
        <w:rFonts w:ascii="Trebuchet MS" w:hAnsi="Trebuchet MS"/>
        <w:color w:val="808080" w:themeColor="background1" w:themeShade="80"/>
        <w:sz w:val="8"/>
        <w:szCs w:val="14"/>
      </w:rPr>
    </w:pPr>
  </w:p>
  <w:p w14:paraId="63281B56" w14:textId="77777777" w:rsidR="00965411" w:rsidRPr="00907FF6" w:rsidRDefault="00965411" w:rsidP="00965411">
    <w:pPr>
      <w:spacing w:after="0" w:line="240" w:lineRule="auto"/>
      <w:jc w:val="center"/>
      <w:rPr>
        <w:rFonts w:ascii="Calibri" w:eastAsia="Times New Roman" w:hAnsi="Calibri" w:cs="Calibri"/>
        <w:sz w:val="14"/>
        <w:szCs w:val="14"/>
        <w:lang w:eastAsia="fr-FR"/>
      </w:rPr>
    </w:pPr>
    <w:r w:rsidRPr="00B1331C">
      <w:rPr>
        <w:rFonts w:ascii="Trebuchet MS" w:hAnsi="Trebuchet MS"/>
        <w:noProof/>
        <w:color w:val="595959" w:themeColor="text1" w:themeTint="A6"/>
        <w:sz w:val="16"/>
      </w:rPr>
      <mc:AlternateContent>
        <mc:Choice Requires="wps">
          <w:drawing>
            <wp:anchor distT="0" distB="0" distL="114300" distR="114300" simplePos="0" relativeHeight="251659264" behindDoc="0" locked="0" layoutInCell="1" allowOverlap="1" wp14:anchorId="096485DB" wp14:editId="706FD6B5">
              <wp:simplePos x="0" y="0"/>
              <wp:positionH relativeFrom="column">
                <wp:posOffset>-904875</wp:posOffset>
              </wp:positionH>
              <wp:positionV relativeFrom="paragraph">
                <wp:posOffset>196850</wp:posOffset>
              </wp:positionV>
              <wp:extent cx="8820150" cy="179705"/>
              <wp:effectExtent l="0" t="0" r="0" b="0"/>
              <wp:wrapNone/>
              <wp:docPr id="68" name="Rectangle 68"/>
              <wp:cNvGraphicFramePr/>
              <a:graphic xmlns:a="http://schemas.openxmlformats.org/drawingml/2006/main">
                <a:graphicData uri="http://schemas.microsoft.com/office/word/2010/wordprocessingShape">
                  <wps:wsp>
                    <wps:cNvSpPr/>
                    <wps:spPr>
                      <a:xfrm>
                        <a:off x="0" y="0"/>
                        <a:ext cx="8820150" cy="179705"/>
                      </a:xfrm>
                      <a:prstGeom prst="rect">
                        <a:avLst/>
                      </a:prstGeom>
                      <a:solidFill>
                        <a:srgbClr val="1740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A8D56" id="Rectangle 68" o:spid="_x0000_s1026" style="position:absolute;margin-left:-71.25pt;margin-top:15.5pt;width:694.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8kegIAAF8FAAAOAAAAZHJzL2Uyb0RvYy54bWysVMFu2zAMvQ/YPwi6r3aCpGmDOkXQosOA&#10;oi2WDj0rshQbkEWNUuJkXz9KdpyuLXYY5oMsieQj+UTy6nrfGLZT6GuwBR+d5ZwpK6Gs7abgP57v&#10;vlxw5oOwpTBgVcEPyvPrxedPV62bqzFUYEqFjECsn7eu4FUIbp5lXlaqEf4MnLIk1ICNCHTETVai&#10;aAm9Mdk4z8+zFrB0CFJ5T7e3nZAvEr7WSoZHrb0KzBScYgtpxbSu45otrsR8g8JVtezDEP8QRSNq&#10;S04HqFsRBNti/Q6qqSWCBx3OJDQZaF1LlXKgbEb5m2xWlXAq5ULkeDfQ5P8frHzYrdwTEg2t83NP&#10;25jFXmMT/xQf2yeyDgNZah+YpMuLC4p4SpxKko1ml7N8GtnMTtYOffiqoGFxU3Ckx0gcid29D53q&#10;USU682Dq8q42Jh1ws74xyHaCHm40m+TnR/Q/1IyNyhaiWYcYb7JTLmkXDkZFPWO/K83qkqIfp0hS&#10;manBj5BS2TDqRJUoVed+mtPX5zZYpEwTYETW5H/A7gFiCb/H7qLs9aOpSlU6GOd/C6wzHiySZ7Bh&#10;MG5qC/gRgKGses+d/pGkjprI0hrKwxMyhK5HvJN3Nb3bvfDhSSA1BT01NXp4pEUbaAsO/Y6zCvDX&#10;R/dRn2qVpJy11GQF9z+3AhVn5pulKr4cTSaxK9NhMp2N6YCvJevXErttbiCWA40UJ9M26gdz3GqE&#10;5oXmwTJ6JZGwknwXXAY8Hm5C1/w0UaRaLpMadaIT4d6unIzgkdVYl8/7F4GuL95AZf8Ax4YU8zc1&#10;3OlGSwvLbQBdpwI/8drzTV2cCqefOHFMvD4nrdNcXPwGAAD//wMAUEsDBBQABgAIAAAAIQCn5lp2&#10;4AAAAAsBAAAPAAAAZHJzL2Rvd25yZXYueG1sTI/BToNAEIbvJr7DZky8tQuU0hZZGkPUk0lj8eBx&#10;CiOg7C5hlxbf3ulJjzPz5Z/vz/az7sWZRtdZoyBcBiDIVLbuTKPgvXxebEE4j6bG3hpS8EMO9vnt&#10;TYZpbS/mjc5H3wgOMS5FBa33Qyqlq1rS6JZ2IMO3Tztq9DyOjaxHvHC47mUUBInU2Bn+0OJARUvV&#10;93HSCooPnOKvxL4WrjxsXtxTqadNqdT93fz4AMLT7P9guOqzOuTsdLKTqZ3oFSzCOFozq2AVcqkr&#10;EcUJb04K1rsVyDyT/zvkvwAAAP//AwBQSwECLQAUAAYACAAAACEAtoM4kv4AAADhAQAAEwAAAAAA&#10;AAAAAAAAAAAAAAAAW0NvbnRlbnRfVHlwZXNdLnhtbFBLAQItABQABgAIAAAAIQA4/SH/1gAAAJQB&#10;AAALAAAAAAAAAAAAAAAAAC8BAABfcmVscy8ucmVsc1BLAQItABQABgAIAAAAIQDqza8kegIAAF8F&#10;AAAOAAAAAAAAAAAAAAAAAC4CAABkcnMvZTJvRG9jLnhtbFBLAQItABQABgAIAAAAIQCn5lp24AAA&#10;AAsBAAAPAAAAAAAAAAAAAAAAANQEAABkcnMvZG93bnJldi54bWxQSwUGAAAAAAQABADzAAAA4QUA&#10;AAAA&#10;" fillcolor="#174065" stroked="f" strokeweight="1pt"/>
          </w:pict>
        </mc:Fallback>
      </mc:AlternateContent>
    </w:r>
    <w:r w:rsidRPr="00907FF6">
      <w:rPr>
        <w:rFonts w:ascii="Calibri" w:eastAsia="Times New Roman" w:hAnsi="Calibri" w:cs="Calibri"/>
        <w:color w:val="595959" w:themeColor="text1" w:themeTint="A6"/>
        <w:sz w:val="14"/>
        <w:szCs w:val="14"/>
        <w:lang w:eastAsia="fr-FR"/>
      </w:rPr>
      <w:t>SOCIETE PAR ACTIONS SIMPLIFIEE AU CAPITAL DE 8.005.000 € - 892 312 067 RCS Nantes – TVA/VAT FR 53 892 312</w:t>
    </w:r>
    <w:r w:rsidRPr="00B1331C">
      <w:rPr>
        <w:rFonts w:ascii="Calibri" w:eastAsia="Times New Roman" w:hAnsi="Calibri" w:cs="Calibri"/>
        <w:color w:val="595959" w:themeColor="text1" w:themeTint="A6"/>
        <w:sz w:val="14"/>
        <w:szCs w:val="14"/>
        <w:lang w:eastAsia="fr-FR"/>
      </w:rPr>
      <w:t> </w:t>
    </w:r>
    <w:r w:rsidRPr="00907FF6">
      <w:rPr>
        <w:rFonts w:ascii="Calibri" w:eastAsia="Times New Roman" w:hAnsi="Calibri" w:cs="Calibri"/>
        <w:color w:val="595959" w:themeColor="text1" w:themeTint="A6"/>
        <w:sz w:val="14"/>
        <w:szCs w:val="14"/>
        <w:lang w:eastAsia="fr-FR"/>
      </w:rPr>
      <w:t>067</w:t>
    </w:r>
  </w:p>
  <w:p w14:paraId="14AD9F31" w14:textId="77777777" w:rsidR="00965411" w:rsidRPr="00EF46D7" w:rsidRDefault="00965411" w:rsidP="00965411">
    <w:pPr>
      <w:spacing w:after="0" w:line="240" w:lineRule="auto"/>
      <w:jc w:val="center"/>
      <w:rPr>
        <w:sz w:val="14"/>
        <w:szCs w:val="16"/>
      </w:rPr>
    </w:pPr>
    <w:r>
      <w:rPr>
        <w:rFonts w:ascii="Trebuchet MS" w:hAnsi="Trebuchet MS"/>
        <w:color w:val="808080" w:themeColor="background1" w:themeShade="80"/>
        <w:sz w:val="18"/>
      </w:rPr>
      <w:t xml:space="preserve">  </w:t>
    </w:r>
  </w:p>
  <w:p w14:paraId="63C0D252" w14:textId="77777777" w:rsidR="00965411" w:rsidRDefault="009654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9629" w14:textId="77777777" w:rsidR="00D45EB7" w:rsidRDefault="00D45EB7" w:rsidP="00965411">
      <w:pPr>
        <w:spacing w:after="0" w:line="240" w:lineRule="auto"/>
      </w:pPr>
      <w:r>
        <w:separator/>
      </w:r>
    </w:p>
  </w:footnote>
  <w:footnote w:type="continuationSeparator" w:id="0">
    <w:p w14:paraId="6E914D46" w14:textId="77777777" w:rsidR="00D45EB7" w:rsidRDefault="00D45EB7" w:rsidP="00965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D89A" w14:textId="77777777" w:rsidR="00965411" w:rsidRDefault="00C15E11" w:rsidP="00C15E11">
    <w:pPr>
      <w:pStyle w:val="En-tte"/>
      <w:tabs>
        <w:tab w:val="clear" w:pos="4536"/>
        <w:tab w:val="clear" w:pos="9072"/>
      </w:tabs>
    </w:pPr>
    <w:r>
      <w:rPr>
        <w:noProof/>
      </w:rPr>
      <mc:AlternateContent>
        <mc:Choice Requires="wps">
          <w:drawing>
            <wp:anchor distT="0" distB="0" distL="114300" distR="114300" simplePos="0" relativeHeight="251661312" behindDoc="0" locked="0" layoutInCell="1" allowOverlap="1" wp14:anchorId="74B6A602" wp14:editId="1E0B9576">
              <wp:simplePos x="0" y="0"/>
              <wp:positionH relativeFrom="page">
                <wp:align>right</wp:align>
              </wp:positionH>
              <wp:positionV relativeFrom="paragraph">
                <wp:posOffset>122830</wp:posOffset>
              </wp:positionV>
              <wp:extent cx="7533564" cy="65024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7533564" cy="650240"/>
                      </a:xfrm>
                      <a:prstGeom prst="rect">
                        <a:avLst/>
                      </a:prstGeom>
                      <a:noFill/>
                      <a:ln w="6350">
                        <a:noFill/>
                      </a:ln>
                    </wps:spPr>
                    <wps:txbx>
                      <w:txbxContent>
                        <w:p w14:paraId="0D8CC7C8" w14:textId="77777777" w:rsidR="00C15E11" w:rsidRDefault="00C15E11" w:rsidP="00C15E11">
                          <w:pPr>
                            <w:jc w:val="center"/>
                          </w:pPr>
                          <w:r>
                            <w:rPr>
                              <w:noProof/>
                            </w:rPr>
                            <w:drawing>
                              <wp:inline distT="0" distB="0" distL="0" distR="0" wp14:anchorId="324DA768" wp14:editId="681C2170">
                                <wp:extent cx="3322362" cy="514555"/>
                                <wp:effectExtent l="0" t="0" r="0" b="0"/>
                                <wp:docPr id="567" name="Imag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a:extLst>
                                            <a:ext uri="{28A0092B-C50C-407E-A947-70E740481C1C}">
                                              <a14:useLocalDpi xmlns:a14="http://schemas.microsoft.com/office/drawing/2010/main" val="0"/>
                                            </a:ext>
                                          </a:extLst>
                                        </a:blip>
                                        <a:stretch>
                                          <a:fillRect/>
                                        </a:stretch>
                                      </pic:blipFill>
                                      <pic:spPr>
                                        <a:xfrm>
                                          <a:off x="0" y="0"/>
                                          <a:ext cx="3669674" cy="5683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6A602" id="_x0000_t202" coordsize="21600,21600" o:spt="202" path="m,l,21600r21600,l21600,xe">
              <v:stroke joinstyle="miter"/>
              <v:path gradientshapeok="t" o:connecttype="rect"/>
            </v:shapetype>
            <v:shape id="Zone de texte 25" o:spid="_x0000_s1026" type="#_x0000_t202" style="position:absolute;margin-left:542pt;margin-top:9.65pt;width:593.2pt;height:51.2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37GAIAACwEAAAOAAAAZHJzL2Uyb0RvYy54bWysU9uO2yAQfa/Uf0C8N3YuzrZWnFW6q1SV&#10;ot2VstU+EwyxJcxQILHTr++AnYu2far6AgMzzOWcw+K+axQ5Cutq0AUdj1JKhOZQ1npf0B+v60+f&#10;KXGe6ZIp0KKgJ+Ho/fLjh0VrcjGBClQpLMEk2uWtKWjlvcmTxPFKNMyNwAiNTgm2YR6Pdp+UlrWY&#10;vVHJJE3nSQu2NBa4cA5vH3snXcb8Ugrun6V0whNVUOzNx9XGdRfWZLlg+d4yU9V8aIP9QxcNqzUW&#10;vaR6ZJ6Rg63/SNXU3IID6UccmgSkrLmIM+A04/TdNNuKGRFnQXCcucDk/l9a/nTcmhdLfPcVOiQw&#10;ANIalzu8DPN00jZhx04J+hHC0wU20XnC8fIum06z+YwSjr55lk5mEdfk+tpY578JaEgwCmqRlogW&#10;O26cx4oYeg4JxTSsa6UiNUqTFpNOszQ+uHjwhdL48NprsHy364YBdlCecC4LPeXO8HWNxTfM+Rdm&#10;kWMcBXXrn3GRCrAIDBYlFdhff7sP8Qg9eilpUTMFdT8PzApK1HeNpHwZz3B04uNhlt1N8GBvPbtb&#10;jz40D4CyHOMPMTyaId6rsyktNG8o71Woii6mOdYuqD+bD75XMn4PLlarGISyMsxv9NbwkDrAGaB9&#10;7d6YNQP+Hpl7grO6WP6Ohj62J2J18CDryFEAuEd1wB0lGakbvk/Q/O05Rl0/+fI3AAAA//8DAFBL&#10;AwQUAAYACAAAACEAAWAXSeAAAAAIAQAADwAAAGRycy9kb3ducmV2LnhtbEyPQU/DMAyF70j8h8hI&#10;3FjaAqPrmk5TpQkJwWFjF25p47UVjVOabCv8erwT3Gy/p+fv5avJ9uKEo+8cKYhnEQik2pmOGgX7&#10;981dCsIHTUb3jlDBN3pYFddXuc6MO9MWT7vQCA4hn2kFbQhDJqWvW7Taz9yAxNrBjVYHXsdGmlGf&#10;Odz2MomiubS6I/7Q6gHLFuvP3dEqeCk3b3pbJTb96cvn18N6+Np/PCp1ezOtlyACTuHPDBd8RoeC&#10;mSp3JONFr4CLBL4u7kFc1DidP4CoeEriJ5BFLv8XKH4BAAD//wMAUEsBAi0AFAAGAAgAAAAhALaD&#10;OJL+AAAA4QEAABMAAAAAAAAAAAAAAAAAAAAAAFtDb250ZW50X1R5cGVzXS54bWxQSwECLQAUAAYA&#10;CAAAACEAOP0h/9YAAACUAQAACwAAAAAAAAAAAAAAAAAvAQAAX3JlbHMvLnJlbHNQSwECLQAUAAYA&#10;CAAAACEAHGs9+xgCAAAsBAAADgAAAAAAAAAAAAAAAAAuAgAAZHJzL2Uyb0RvYy54bWxQSwECLQAU&#10;AAYACAAAACEAAWAXSeAAAAAIAQAADwAAAAAAAAAAAAAAAAByBAAAZHJzL2Rvd25yZXYueG1sUEsF&#10;BgAAAAAEAAQA8wAAAH8FAAAAAA==&#10;" filled="f" stroked="f" strokeweight=".5pt">
              <v:textbox>
                <w:txbxContent>
                  <w:p w14:paraId="0D8CC7C8" w14:textId="77777777" w:rsidR="00C15E11" w:rsidRDefault="00C15E11" w:rsidP="00C15E11">
                    <w:pPr>
                      <w:jc w:val="center"/>
                    </w:pPr>
                    <w:r>
                      <w:rPr>
                        <w:noProof/>
                      </w:rPr>
                      <w:drawing>
                        <wp:inline distT="0" distB="0" distL="0" distR="0" wp14:anchorId="324DA768" wp14:editId="681C2170">
                          <wp:extent cx="3322362" cy="514555"/>
                          <wp:effectExtent l="0" t="0" r="0" b="0"/>
                          <wp:docPr id="567" name="Imag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
                                    <a:extLst>
                                      <a:ext uri="{28A0092B-C50C-407E-A947-70E740481C1C}">
                                        <a14:useLocalDpi xmlns:a14="http://schemas.microsoft.com/office/drawing/2010/main" val="0"/>
                                      </a:ext>
                                    </a:extLst>
                                  </a:blip>
                                  <a:stretch>
                                    <a:fillRect/>
                                  </a:stretch>
                                </pic:blipFill>
                                <pic:spPr>
                                  <a:xfrm>
                                    <a:off x="0" y="0"/>
                                    <a:ext cx="3669674" cy="568345"/>
                                  </a:xfrm>
                                  <a:prstGeom prst="rect">
                                    <a:avLst/>
                                  </a:prstGeom>
                                </pic:spPr>
                              </pic:pic>
                            </a:graphicData>
                          </a:graphic>
                        </wp:inline>
                      </w:drawing>
                    </w:r>
                  </w:p>
                </w:txbxContent>
              </v:textbox>
              <w10:wrap anchorx="page"/>
            </v:shape>
          </w:pict>
        </mc:Fallback>
      </mc:AlternateContent>
    </w:r>
    <w:r w:rsidR="00965411">
      <w:rPr>
        <w:noProof/>
      </w:rPr>
      <w:drawing>
        <wp:inline distT="0" distB="0" distL="0" distR="0" wp14:anchorId="3D7197B9" wp14:editId="49D67577">
          <wp:extent cx="1722755" cy="3195320"/>
          <wp:effectExtent l="0" t="0" r="0" b="5080"/>
          <wp:docPr id="564" name="Imag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1468"/>
                  <a:stretch/>
                </pic:blipFill>
                <pic:spPr bwMode="auto">
                  <a:xfrm>
                    <a:off x="0" y="0"/>
                    <a:ext cx="1722755" cy="31953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B7"/>
    <w:rsid w:val="001848C1"/>
    <w:rsid w:val="001B3ADC"/>
    <w:rsid w:val="0021167F"/>
    <w:rsid w:val="002C2901"/>
    <w:rsid w:val="00346ED0"/>
    <w:rsid w:val="003919D5"/>
    <w:rsid w:val="00514C6C"/>
    <w:rsid w:val="005369F5"/>
    <w:rsid w:val="005467ED"/>
    <w:rsid w:val="00653512"/>
    <w:rsid w:val="00681E78"/>
    <w:rsid w:val="00787855"/>
    <w:rsid w:val="008B5CC2"/>
    <w:rsid w:val="008C664B"/>
    <w:rsid w:val="00965411"/>
    <w:rsid w:val="009976BF"/>
    <w:rsid w:val="00AE4C01"/>
    <w:rsid w:val="00C04940"/>
    <w:rsid w:val="00C15E11"/>
    <w:rsid w:val="00D45EB7"/>
    <w:rsid w:val="00DA4855"/>
    <w:rsid w:val="00E56C80"/>
    <w:rsid w:val="00E86140"/>
    <w:rsid w:val="00FD5AFD"/>
    <w:rsid w:val="063C9054"/>
    <w:rsid w:val="5687D1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57AC3"/>
  <w15:chartTrackingRefBased/>
  <w15:docId w15:val="{E0DCF7F1-F9C2-4D8E-A2D4-671B75DE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C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5411"/>
    <w:pPr>
      <w:tabs>
        <w:tab w:val="center" w:pos="4536"/>
        <w:tab w:val="right" w:pos="9072"/>
      </w:tabs>
      <w:spacing w:after="0" w:line="240" w:lineRule="auto"/>
    </w:pPr>
  </w:style>
  <w:style w:type="character" w:customStyle="1" w:styleId="En-tteCar">
    <w:name w:val="En-tête Car"/>
    <w:basedOn w:val="Policepardfaut"/>
    <w:link w:val="En-tte"/>
    <w:uiPriority w:val="99"/>
    <w:rsid w:val="00965411"/>
  </w:style>
  <w:style w:type="paragraph" w:styleId="Pieddepage">
    <w:name w:val="footer"/>
    <w:basedOn w:val="Normal"/>
    <w:link w:val="PieddepageCar"/>
    <w:uiPriority w:val="99"/>
    <w:unhideWhenUsed/>
    <w:rsid w:val="009654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5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morgroup.sharepoint.com/sites/ArmorTemplates/ArmorTemplates/APS/Courrier-en-t&#234;te-AP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6763EB3D4EA45A1FDC59A3B958888" ma:contentTypeVersion="4" ma:contentTypeDescription="Crée un document." ma:contentTypeScope="" ma:versionID="8bb7a1322db93736aaf69a6ae3ab829b">
  <xsd:schema xmlns:xsd="http://www.w3.org/2001/XMLSchema" xmlns:xs="http://www.w3.org/2001/XMLSchema" xmlns:p="http://schemas.microsoft.com/office/2006/metadata/properties" xmlns:ns2="9fe90459-d2bd-44bf-bd63-53f66b45769b" xmlns:ns3="01f29ae4-1b80-4815-a10c-4e13df4ef594" targetNamespace="http://schemas.microsoft.com/office/2006/metadata/properties" ma:root="true" ma:fieldsID="db1a254737a8159f8cbe87ed7da35bb4" ns2:_="" ns3:_="">
    <xsd:import namespace="9fe90459-d2bd-44bf-bd63-53f66b45769b"/>
    <xsd:import namespace="01f29ae4-1b80-4815-a10c-4e13df4ef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90459-d2bd-44bf-bd63-53f66b45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29ae4-1b80-4815-a10c-4e13df4ef59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6BACC-11B4-48E8-8DF6-D9435CF6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90459-d2bd-44bf-bd63-53f66b45769b"/>
    <ds:schemaRef ds:uri="01f29ae4-1b80-4815-a10c-4e13df4e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94C53-BC78-4C1F-9814-D4F99CF6E1F3}">
  <ds:schemaRefs>
    <ds:schemaRef ds:uri="http://schemas.microsoft.com/sharepoint/v3/contenttype/forms"/>
  </ds:schemaRefs>
</ds:datastoreItem>
</file>

<file path=customXml/itemProps3.xml><?xml version="1.0" encoding="utf-8"?>
<ds:datastoreItem xmlns:ds="http://schemas.openxmlformats.org/officeDocument/2006/customXml" ds:itemID="{48855690-AE3A-4DC4-9626-800D33888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Courrier-en-tête-APS.dotx</Template>
  <TotalTime>6</TotalTime>
  <Pages>1</Pages>
  <Words>356</Words>
  <Characters>1964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BAILLY-BABE Helene</dc:creator>
  <cp:keywords/>
  <dc:description/>
  <cp:lastModifiedBy>BAILLY-BABE Helene</cp:lastModifiedBy>
  <cp:revision>11</cp:revision>
  <dcterms:created xsi:type="dcterms:W3CDTF">2022-09-26T13:52:00Z</dcterms:created>
  <dcterms:modified xsi:type="dcterms:W3CDTF">2022-09-29T13:52:00Z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0x0101007EE6763EB3D4EA45A1FDC59A3B958888</vt:lpwstr>
  </property>
</Properties>
</file>